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65C5C" w:rsidR="00665C5C" w:rsidP="00665C5C" w:rsidRDefault="00665C5C" w14:paraId="7aaad40" w14:textId="7aaad40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665C5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  <w:t xml:space="preserve">      </w:t>
      </w:r>
    </w:p>
    <w:p w:rsidRPr="00665C5C" w:rsidR="00665C5C" w:rsidP="00665C5C" w:rsidRDefault="00665C5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 xml:space="preserve">TRGOVAČKI SUD U PAZINU    </w:t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</w:p>
    <w:p w:rsidRPr="00665C5C" w:rsidR="00665C5C" w:rsidP="00665C5C" w:rsidRDefault="00665C5C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665C5C">
        <w:rPr>
          <w:rFonts w:eastAsia="Times New Roman" w:cs="Arial"/>
          <w:bCs/>
          <w:szCs w:val="24"/>
          <w:lang w:eastAsia="hr-HR"/>
        </w:rPr>
        <w:br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="00A67C8A">
        <w:rPr>
          <w:rFonts w:eastAsia="Times New Roman" w:cs="Arial"/>
          <w:bCs/>
          <w:szCs w:val="24"/>
          <w:lang w:eastAsia="hr-HR"/>
        </w:rPr>
        <w:tab/>
      </w:r>
      <w:r w:rsidR="00A67C8A">
        <w:rPr>
          <w:rFonts w:eastAsia="Times New Roman" w:cs="Arial"/>
          <w:bCs/>
          <w:szCs w:val="24"/>
          <w:lang w:eastAsia="hr-HR"/>
        </w:rPr>
        <w:tab/>
      </w:r>
      <w:r w:rsidR="00A67C8A">
        <w:rPr>
          <w:rFonts w:eastAsia="Times New Roman" w:cs="Arial"/>
          <w:bCs/>
          <w:szCs w:val="24"/>
          <w:lang w:eastAsia="hr-HR"/>
        </w:rPr>
        <w:tab/>
      </w:r>
      <w:r w:rsidR="00A67C8A">
        <w:rPr>
          <w:rFonts w:eastAsia="Times New Roman" w:cs="Arial"/>
          <w:bCs/>
          <w:szCs w:val="24"/>
          <w:lang w:eastAsia="hr-HR"/>
        </w:rPr>
        <w:tab/>
      </w:r>
      <w:r w:rsidR="00A67C8A">
        <w:rPr>
          <w:rFonts w:eastAsia="Times New Roman" w:cs="Arial"/>
          <w:bCs/>
          <w:szCs w:val="24"/>
          <w:lang w:eastAsia="hr-HR"/>
        </w:rPr>
        <w:tab/>
      </w:r>
      <w:r w:rsidR="00A67C8A">
        <w:rPr>
          <w:rFonts w:eastAsia="Times New Roman" w:cs="Arial"/>
          <w:bCs/>
          <w:szCs w:val="24"/>
          <w:lang w:eastAsia="hr-HR"/>
        </w:rPr>
        <w:tab/>
      </w:r>
      <w:r w:rsidR="00A67C8A">
        <w:rPr>
          <w:rFonts w:eastAsia="Times New Roman" w:cs="Arial"/>
          <w:bCs/>
          <w:szCs w:val="24"/>
          <w:lang w:eastAsia="hr-HR"/>
        </w:rPr>
        <w:tab/>
      </w:r>
      <w:r w:rsidR="00A67C8A">
        <w:rPr>
          <w:rFonts w:eastAsia="Times New Roman" w:cs="Arial"/>
          <w:bCs/>
          <w:szCs w:val="24"/>
          <w:lang w:eastAsia="hr-HR"/>
        </w:rPr>
        <w:tab/>
      </w:r>
      <w:r w:rsidR="00A67C8A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A67C8A"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>St-29</w:t>
      </w:r>
      <w:r w:rsidRPr="00665C5C">
        <w:rPr>
          <w:rFonts w:eastAsia="Times New Roman" w:cs="Arial"/>
          <w:bCs/>
          <w:szCs w:val="24"/>
          <w:lang w:eastAsia="hr-HR"/>
        </w:rPr>
        <w:t>/202</w:t>
      </w:r>
      <w:r>
        <w:rPr>
          <w:rFonts w:eastAsia="Times New Roman" w:cs="Arial"/>
          <w:bCs/>
          <w:szCs w:val="24"/>
          <w:lang w:eastAsia="hr-HR"/>
        </w:rPr>
        <w:t>4</w:t>
      </w:r>
      <w:r w:rsidRPr="00665C5C">
        <w:rPr>
          <w:rFonts w:eastAsia="Times New Roman" w:cs="Arial"/>
          <w:bCs/>
          <w:szCs w:val="24"/>
          <w:lang w:eastAsia="hr-HR"/>
        </w:rPr>
        <w:t>-</w:t>
      </w:r>
      <w:r w:rsidR="006A10B4">
        <w:rPr>
          <w:rFonts w:eastAsia="Times New Roman" w:cs="Arial"/>
          <w:bCs/>
          <w:szCs w:val="24"/>
          <w:lang w:eastAsia="hr-HR"/>
        </w:rPr>
        <w:t>34</w:t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</w:p>
    <w:p w:rsidRPr="00665C5C" w:rsidR="00665C5C" w:rsidP="00665C5C" w:rsidRDefault="00665C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>Z A P I S N I K</w:t>
      </w:r>
    </w:p>
    <w:p w:rsidRPr="00F62589" w:rsidR="00665C5C" w:rsidP="00665C5C" w:rsidRDefault="00665C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62589">
        <w:rPr>
          <w:rFonts w:eastAsia="Times New Roman" w:cs="Arial"/>
          <w:bCs/>
          <w:szCs w:val="24"/>
          <w:lang w:eastAsia="hr-HR"/>
        </w:rPr>
        <w:t>Od 21. svibnja 2024.</w:t>
      </w:r>
    </w:p>
    <w:p w:rsidRPr="00F62589" w:rsidR="00665C5C" w:rsidP="00665C5C" w:rsidRDefault="00665C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62589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F62589" w:rsidR="00665C5C" w:rsidP="00665C5C" w:rsidRDefault="00665C5C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F62589">
        <w:rPr>
          <w:rFonts w:eastAsia="Times New Roman" w:cs="Arial"/>
          <w:bCs/>
          <w:szCs w:val="24"/>
          <w:lang w:eastAsia="hr-HR"/>
        </w:rPr>
        <w:t xml:space="preserve">ročište radi određivanja vrijednosti </w:t>
      </w:r>
      <w:r w:rsidRPr="00F62589">
        <w:rPr>
          <w:sz w:val="23"/>
          <w:szCs w:val="23"/>
        </w:rPr>
        <w:t>brodice – jahte naziva Lola 2, upisane u upisni list jahti Lučke kapetanije Pula, KLASA: 342-14/11-01/92, urbroj: 530-03-01-03/2-11-2, DUB br: 91/11,</w:t>
      </w:r>
      <w:r w:rsidRPr="00F62589">
        <w:rPr>
          <w:rFonts w:eastAsia="Times New Roman" w:cs="Arial"/>
          <w:bCs/>
          <w:szCs w:val="24"/>
          <w:lang w:eastAsia="hr-HR"/>
        </w:rPr>
        <w:t xml:space="preserve"> </w:t>
      </w:r>
    </w:p>
    <w:p w:rsidRPr="00665C5C" w:rsidR="00665C5C" w:rsidP="00665C5C" w:rsidRDefault="00665C5C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F62589">
        <w:rPr>
          <w:rFonts w:eastAsia="Times New Roman" w:cs="Arial"/>
          <w:bCs/>
          <w:szCs w:val="24"/>
          <w:lang w:eastAsia="hr-HR"/>
        </w:rPr>
        <w:t xml:space="preserve">radi prodaje u stečajnom postupku nad </w:t>
      </w:r>
      <w:r w:rsidRPr="00F62589">
        <w:rPr>
          <w:rFonts w:eastAsia="Times New Roman" w:cs="Arial"/>
          <w:szCs w:val="24"/>
          <w:lang w:eastAsia="hr-HR"/>
        </w:rPr>
        <w:t xml:space="preserve">Stečajnom masom iza APEX NAVIS d.o.o. </w:t>
      </w:r>
      <w:r w:rsidRPr="00CA432C">
        <w:rPr>
          <w:rFonts w:eastAsia="Times New Roman" w:cs="Arial"/>
          <w:szCs w:val="24"/>
          <w:lang w:eastAsia="hr-HR"/>
        </w:rPr>
        <w:t>u stečaju</w:t>
      </w:r>
      <w:r>
        <w:rPr>
          <w:rFonts w:eastAsia="Times New Roman" w:cs="Arial"/>
          <w:szCs w:val="24"/>
          <w:lang w:eastAsia="hr-HR"/>
        </w:rPr>
        <w:t xml:space="preserve">, Zagreb, Lupoglavska ulica 3, OIB: </w:t>
      </w:r>
      <w:r w:rsidRPr="00116C7E">
        <w:rPr>
          <w:rFonts w:eastAsia="Times New Roman" w:cs="Arial"/>
          <w:szCs w:val="24"/>
          <w:lang w:eastAsia="hr-HR"/>
        </w:rPr>
        <w:t>25665183089</w:t>
      </w:r>
    </w:p>
    <w:p w:rsidRPr="00665C5C" w:rsidR="00665C5C" w:rsidP="00665C5C" w:rsidRDefault="00665C5C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>OD SUDA NAZOČNI:</w:t>
      </w: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 xml:space="preserve">Početak </w:t>
      </w:r>
      <w:r w:rsidRPr="00F62589">
        <w:rPr>
          <w:rFonts w:eastAsia="Times New Roman" w:cs="Arial"/>
          <w:bCs/>
          <w:szCs w:val="24"/>
          <w:lang w:eastAsia="hr-HR"/>
        </w:rPr>
        <w:t xml:space="preserve">u 13:00 sati. Ročište </w:t>
      </w:r>
      <w:r w:rsidRPr="00665C5C">
        <w:rPr>
          <w:rFonts w:eastAsia="Times New Roman" w:cs="Arial"/>
          <w:bCs/>
          <w:szCs w:val="24"/>
          <w:lang w:eastAsia="hr-HR"/>
        </w:rPr>
        <w:t>je javno.</w:t>
      </w: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EF5077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F5077">
        <w:rPr>
          <w:rFonts w:eastAsia="Times New Roman" w:cs="Arial"/>
          <w:bCs/>
          <w:szCs w:val="24"/>
          <w:lang w:eastAsia="hr-HR"/>
        </w:rPr>
        <w:t>- stečajni upravitelj Valentin Jakovac</w:t>
      </w: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F5077" w:rsidR="00665C5C" w:rsidP="00665C5C" w:rsidRDefault="00665C5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F5077">
        <w:rPr>
          <w:rFonts w:eastAsia="Times New Roman" w:cs="Arial"/>
          <w:bCs/>
          <w:szCs w:val="24"/>
          <w:lang w:eastAsia="hr-HR"/>
        </w:rPr>
        <w:tab/>
        <w:t xml:space="preserve">Ovo ročište je zakazano radi izjašnjenja razlučnih vjerovnika glede utvrđivanja cijene </w:t>
      </w:r>
      <w:r w:rsidRPr="00EF5077">
        <w:rPr>
          <w:sz w:val="23"/>
          <w:szCs w:val="23"/>
        </w:rPr>
        <w:t>brodice – jahte naziva Lola 2, upisane u upisni list jahti Lučke kapetanije Pula, KLASA: 342-14/11-01/92, urbroj: 530-03-01-03/2-11-2, DUB br: 91/11</w:t>
      </w:r>
      <w:r w:rsidRPr="00EF5077">
        <w:rPr>
          <w:rFonts w:eastAsia="Times New Roman" w:cs="Arial"/>
          <w:bCs/>
          <w:szCs w:val="24"/>
          <w:lang w:eastAsia="hr-HR"/>
        </w:rPr>
        <w:t>.</w:t>
      </w: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color w:val="C0504D"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ab/>
        <w:t xml:space="preserve">Stečajni upravitelj izjavljuje da </w:t>
      </w:r>
      <w:r w:rsidR="00EF5077">
        <w:rPr>
          <w:rFonts w:eastAsia="Times New Roman" w:cs="Arial"/>
          <w:bCs/>
          <w:szCs w:val="24"/>
          <w:lang w:eastAsia="hr-HR"/>
        </w:rPr>
        <w:t>Hrvatska banka za obnovu i razvoj nije više razlučni vjerovnik već je to FLACH TOURS d.o.o. Pribavljena procjena brodice više nije aktualna s obzirom da je brodica po svoj prilici totalno oštećena u požaru koji se dogodio u marini u Medulinu 15. svibnja 2024. Iz tog razloga zatražiti će se od vještaka nova procjena te se predlaže zakazati novo ročište nakon pribave procjene, na koje će se pozvati i FLACH TOURS d.o.o. radi donošenja odluke o načinu i uvjetima prodaje ostataka brodice.</w:t>
      </w:r>
    </w:p>
    <w:p w:rsidRPr="00665C5C" w:rsidR="00665C5C" w:rsidP="00657E29" w:rsidRDefault="00665C5C">
      <w:pPr>
        <w:tabs>
          <w:tab w:val="left" w:pos="168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65C5C" w:rsidR="00665C5C" w:rsidP="00665C5C" w:rsidRDefault="00665C5C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665C5C" w:rsidR="00665C5C" w:rsidP="00665C5C" w:rsidRDefault="00657E29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R j e š e nj e</w:t>
      </w:r>
    </w:p>
    <w:p w:rsidRPr="00665C5C" w:rsidR="00665C5C" w:rsidP="00665C5C" w:rsidRDefault="00665C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665C5C" w:rsidR="00665C5C" w:rsidP="00665C5C" w:rsidRDefault="00657E2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Današnje se ročište odgađa a novo će biti zakazano nakon pribave nove procjene brodice.</w:t>
      </w:r>
    </w:p>
    <w:p w:rsidRPr="00665C5C" w:rsidR="00665C5C" w:rsidP="00665C5C" w:rsidRDefault="00665C5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57E29" w:rsidR="00665C5C" w:rsidP="00665C5C" w:rsidRDefault="00657E29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657E29">
        <w:rPr>
          <w:rFonts w:eastAsia="Times New Roman" w:cs="Arial"/>
          <w:bCs/>
          <w:szCs w:val="24"/>
          <w:lang w:eastAsia="hr-HR"/>
        </w:rPr>
        <w:tab/>
      </w:r>
      <w:r w:rsidRPr="00657E29" w:rsidR="00665C5C">
        <w:rPr>
          <w:rFonts w:eastAsia="Times New Roman" w:cs="Arial"/>
          <w:bCs/>
          <w:szCs w:val="24"/>
          <w:lang w:eastAsia="hr-HR"/>
        </w:rPr>
        <w:t>Ovaj zapisnik objaviti će se na e-Oglasnoj ploči.</w:t>
      </w:r>
    </w:p>
    <w:p w:rsidRPr="00665C5C" w:rsidR="00665C5C" w:rsidP="00665C5C" w:rsidRDefault="00665C5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665C5C" w:rsidR="00665C5C" w:rsidP="00665C5C" w:rsidRDefault="00665C5C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665C5C">
        <w:rPr>
          <w:rFonts w:eastAsia="Times New Roman" w:cs="Arial"/>
          <w:szCs w:val="24"/>
          <w:lang w:eastAsia="hr-HR"/>
        </w:rPr>
        <w:t xml:space="preserve">Dovršeno u </w:t>
      </w:r>
      <w:r w:rsidR="00EF7F94">
        <w:rPr>
          <w:rFonts w:eastAsia="Times New Roman" w:cs="Arial"/>
          <w:szCs w:val="24"/>
          <w:lang w:eastAsia="hr-HR"/>
        </w:rPr>
        <w:t>13</w:t>
      </w:r>
      <w:r w:rsidRPr="00665C5C">
        <w:rPr>
          <w:rFonts w:eastAsia="Times New Roman" w:cs="Arial"/>
          <w:szCs w:val="24"/>
          <w:lang w:eastAsia="hr-HR"/>
        </w:rPr>
        <w:t>:</w:t>
      </w:r>
      <w:r w:rsidR="00EF7F94">
        <w:rPr>
          <w:rFonts w:eastAsia="Times New Roman" w:cs="Arial"/>
          <w:szCs w:val="24"/>
          <w:lang w:eastAsia="hr-HR"/>
        </w:rPr>
        <w:t>08</w:t>
      </w:r>
      <w:r w:rsidRPr="00665C5C">
        <w:rPr>
          <w:rFonts w:eastAsia="Times New Roman" w:cs="Arial"/>
          <w:szCs w:val="24"/>
          <w:lang w:eastAsia="hr-HR"/>
        </w:rPr>
        <w:t xml:space="preserve"> sati.</w:t>
      </w:r>
    </w:p>
    <w:p w:rsidRPr="00665C5C" w:rsidR="00665C5C" w:rsidP="00665C5C" w:rsidRDefault="00665C5C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</w:p>
    <w:p w:rsidRPr="00665C5C" w:rsidR="00665C5C" w:rsidP="00665C5C" w:rsidRDefault="00665C5C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665C5C" w:rsidR="00665C5C" w:rsidP="00665C5C" w:rsidRDefault="00665C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 xml:space="preserve">  </w:t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  <w:t xml:space="preserve">       Sutkinja</w:t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  <w:t xml:space="preserve">        Stečajni upravitelj</w:t>
      </w:r>
    </w:p>
    <w:p w:rsidRPr="00665C5C" w:rsidR="00665C5C" w:rsidP="00665C5C" w:rsidRDefault="00665C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665C5C">
        <w:rPr>
          <w:rFonts w:eastAsia="Times New Roman" w:cs="Arial"/>
          <w:bCs/>
          <w:szCs w:val="24"/>
          <w:lang w:eastAsia="hr-HR"/>
        </w:rPr>
        <w:tab/>
      </w:r>
    </w:p>
    <w:p w:rsidRPr="00665C5C" w:rsidR="00665C5C" w:rsidP="00665C5C" w:rsidRDefault="00665C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665C5C" w:rsidR="00665C5C" w:rsidP="00665C5C" w:rsidRDefault="00665C5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2410FA" w:rsidP="00657E29" w:rsidRDefault="00665C5C">
      <w:pPr>
        <w:spacing w:after="0" w:line="240" w:lineRule="atLeast"/>
        <w:ind w:firstLine="720"/>
        <w:jc w:val="both"/>
      </w:pPr>
      <w:r w:rsidRPr="00665C5C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665C5C">
        <w:rPr>
          <w:rFonts w:eastAsia="Times New Roman" w:cs="Arial"/>
          <w:bCs/>
          <w:szCs w:val="24"/>
          <w:lang w:eastAsia="hr-HR"/>
        </w:rPr>
        <w:tab/>
      </w:r>
      <w:r w:rsidRPr="00665C5C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665C5C">
        <w:rPr>
          <w:rFonts w:eastAsia="Times New Roman" w:cs="Arial"/>
          <w:bCs/>
          <w:szCs w:val="24"/>
          <w:lang w:eastAsia="hr-HR"/>
        </w:rPr>
        <w:tab/>
        <w:t xml:space="preserve">           Zapisničarka</w:t>
      </w:r>
    </w:p>
    <w:sectPr w:rsidR="002410FA" w:rsidSect="005A787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3BE4" w:rsidP="00665C5C" w:rsidRDefault="00D13BE4">
      <w:pPr>
        <w:spacing w:after="0" w:line="240" w:lineRule="auto"/>
      </w:pPr>
      <w:r>
        <w:separator/>
      </w:r>
    </w:p>
  </w:endnote>
  <w:endnote w:type="continuationSeparator" w:id="0">
    <w:p w:rsidR="00D13BE4" w:rsidP="00665C5C" w:rsidRDefault="00D1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665C5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D13BE4">
    <w:pPr>
      <w:pStyle w:val="Podnoje"/>
      <w:ind w:right="360"/>
    </w:pPr>
  </w:p>
  <w:p w:rsidR="000E5907" w:rsidRDefault="00D13BE4"/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D13BE4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D13BE4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3BE4" w:rsidP="00665C5C" w:rsidRDefault="00D13BE4">
      <w:pPr>
        <w:spacing w:after="0" w:line="240" w:lineRule="auto"/>
      </w:pPr>
      <w:r>
        <w:separator/>
      </w:r>
    </w:p>
  </w:footnote>
  <w:footnote w:type="continuationSeparator" w:id="0">
    <w:p w:rsidR="00D13BE4" w:rsidP="00665C5C" w:rsidRDefault="00D1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665C5C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D13BE4">
    <w:pPr>
      <w:pStyle w:val="Zaglavlje"/>
    </w:pPr>
  </w:p>
  <w:p w:rsidR="000E5907" w:rsidRDefault="00D13BE4"/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75E4" w:rsidP="006875E4" w:rsidRDefault="00D13BE4">
    <w:pPr>
      <w:pStyle w:val="Zaglavlje"/>
      <w:ind w:firstLine="4536"/>
      <w:jc w:val="center"/>
    </w:pPr>
    <w:sdt>
      <w:sdtPr>
        <w:id w:val="2139913625"/>
        <w:docPartObj>
          <w:docPartGallery w:val="Page Numbers (Top of Page)"/>
          <w:docPartUnique/>
        </w:docPartObj>
      </w:sdtPr>
      <w:sdtEndPr/>
      <w:sdtContent>
        <w:r w:rsidR="00665C5C">
          <w:fldChar w:fldCharType="begin"/>
        </w:r>
        <w:r w:rsidR="00665C5C">
          <w:instrText>PAGE   \* MERGEFORMAT</w:instrText>
        </w:r>
        <w:r w:rsidR="00665C5C">
          <w:fldChar w:fldCharType="separate"/>
        </w:r>
        <w:r w:rsidR="00657E29">
          <w:rPr>
            <w:noProof/>
          </w:rPr>
          <w:t xml:space="preserve">- </w:t>
        </w:r>
        <w:r w:rsidRPr="00657E29" w:rsidR="00657E29">
          <w:rPr>
            <w:rFonts w:cs="Arial"/>
            <w:noProof/>
          </w:rPr>
          <w:t>2</w:t>
        </w:r>
        <w:r w:rsidR="00657E29">
          <w:rPr>
            <w:noProof/>
          </w:rPr>
          <w:t xml:space="preserve"> -</w:t>
        </w:r>
        <w:r w:rsidR="00665C5C">
          <w:fldChar w:fldCharType="end"/>
        </w:r>
      </w:sdtContent>
    </w:sdt>
    <w:r w:rsidR="00665C5C">
      <w:tab/>
    </w:r>
    <w:r w:rsidR="00665C5C">
      <w:rPr>
        <w:rFonts w:cs="Arial"/>
      </w:rPr>
      <w:t xml:space="preserve"> St-29/2024</w:t>
    </w:r>
    <w:r w:rsidRPr="006875E4" w:rsidR="00665C5C">
      <w:rPr>
        <w:rFonts w:cs="Arial"/>
      </w:rPr>
      <w:t>-</w:t>
    </w:r>
    <w:r w:rsidR="006A10B4">
      <w:rPr>
        <w:rFonts w:cs="Arial"/>
      </w:rPr>
      <w:t>34</w:t>
    </w:r>
  </w:p>
  <w:p w:rsidR="000E5907" w:rsidRDefault="00D13BE4"/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C5C"/>
    <w:rsid w:val="002410FA"/>
    <w:rsid w:val="00657E29"/>
    <w:rsid w:val="00665C5C"/>
    <w:rsid w:val="006A10B4"/>
    <w:rsid w:val="008B662A"/>
    <w:rsid w:val="00A67C8A"/>
    <w:rsid w:val="00D13BE4"/>
    <w:rsid w:val="00EF5077"/>
    <w:rsid w:val="00EF7F94"/>
    <w:rsid w:val="00F62589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5E738B21-6C0E-4A1E-926A-184EED303700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65C5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665C5C"/>
  </w:style>
  <w:style w:type="paragraph" w:styleId="Podnoje">
    <w:name w:val="footer"/>
    <w:basedOn w:val="Normal"/>
    <w:link w:val="PodnojeChar"/>
    <w:uiPriority w:val="99"/>
    <w:unhideWhenUsed/>
    <w:rsid w:val="00665C5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665C5C"/>
  </w:style>
  <w:style w:type="character" w:styleId="Brojstranice">
    <w:name w:val="page number"/>
    <w:basedOn w:val="Zadanifontodlomka"/>
    <w:rsid w:val="00665C5C"/>
  </w:style>
  <w:style w:type="character" w:styleId="Tekstrezerviranogmjesta">
    <w:name w:val="Placeholder Text"/>
    <w:basedOn w:val="Zadanifontodlomka"/>
    <w:uiPriority w:val="99"/>
    <w:semiHidden/>
    <w:rsid w:val="008B662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B662A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B662A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B662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B662A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21. svibnja 2024.</izvorni_sadrzaj>
    <derivirana_varijabla naziv="DomainObject.StvarniPocetakDatum_1">21. svibnja 2024.</derivirana_varijabla>
  </DomainObject.StvarniPocetakDatum>
  <DomainObject.StvarniZavrsetakDatum>
    <izvorni_sadrzaj>21. svibnja 2024.</izvorni_sadrzaj>
    <derivirana_varijabla naziv="DomainObject.StvarniZavrsetakDatum_1">21. svibnja 2024.</derivirana_varijabla>
  </DomainObject.StvarniZavrsetakDatum>
  <DomainObject.PlaniraniZavrsetakDatum>
    <izvorni_sadrzaj>21. svibnja 2024.</izvorni_sadrzaj>
    <derivirana_varijabla naziv="DomainObject.PlaniraniZavrsetakDatum_1">21. svibnja 2024.</derivirana_varijabla>
  </DomainObject.PlaniraniZavrsetakDatum>
  <DomainObject.PlaniraniPocetakDatum>
    <izvorni_sadrzaj>21. svibnja 2024.</izvorni_sadrzaj>
    <derivirana_varijabla naziv="DomainObject.PlaniraniPocetakDatum_1">21. svibnja 2024.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13:08</izvorni_sadrzaj>
    <derivirana_varijabla naziv="DomainObject.StvarniZavrsetakVrijeme_1">13:08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svibnja 2024.</izvorni_sadrzaj>
    <derivirana_varijabla naziv="DomainObject.Zapisnik.DatumKreiranja_1">21.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St-29/2024-34</izvorni_sadrzaj>
    <derivirana_varijabla naziv="DomainObject.Zapisnik.Oznaka_1">St-29/2024-34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2024.</izvorni_sadrzaj>
    <derivirana_varijabla naziv="DomainObject.Predmet.DatumOsnivanja_1">26.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St-29/2024</izvorni_sadrzaj>
    <derivirana_varijabla naziv="DomainObject.Predmet.OznakaBroj_1">St-29/2024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APEX NAVIS d.o.o. savjetovanje u pomorstvu i brodogradnji, turistička agencija u stečaju</izvorni_sadrzaj>
    <derivirana_varijabla naziv="DomainObject.Predmet.ProtustrankaFormated_1">  Stečajna masa iza APEX NAVIS d.o.o. savjetovanje u pomorstvu i brodogradnji, turistička agencija u stečaju</derivirana_varijabla>
  </DomainObject.Predmet.ProtustrankaFormated>
  <DomainObject.Predmet.ProtustrankaFormatedOIB>
    <izvorni_sadrzaj>  Stečajna masa iza APEX NAVIS d.o.o. savjetovanje u pomorstvu i brodogradnji, turistička agencija u stečaju, OIB 25665183089</izvorni_sadrzaj>
    <derivirana_varijabla naziv="DomainObject.Predmet.ProtustrankaFormatedOIB_1">  Stečajna masa iza APEX NAVIS d.o.o. savjetovanje u pomorstvu i brodogradnji, turistička agencija u stečaju, OIB 25665183089</derivirana_varijabla>
  </DomainObject.Predmet.ProtustrankaFormatedOIB>
  <DomainObject.Predmet.ProtustrankaFormatedWithAdress>
    <izvorni_sadrzaj> Stečajna masa iza APEX NAVIS d.o.o. savjetovanje u pomorstvu i brodogradnji, turistička agencija u stečaju, Lupoglavska ulica 3, 10000 Zagreb</izvorni_sadrzaj>
    <derivirana_varijabla naziv="DomainObject.Predmet.ProtustrankaFormatedWithAdress_1"> Stečajna masa iza APEX NAVIS d.o.o. savjetovanje u pomorstvu i brodogradnji, turistička agencija u stečaju, Lupoglavska ulica 3, 10000 Zagreb</derivirana_varijabla>
  </DomainObject.Predmet.ProtustrankaFormatedWithAdress>
  <DomainObject.Predmet.ProtustrankaFormatedWithAdressOIB>
    <izvorni_sadrzaj> Stečajna masa iza APEX NAVIS d.o.o. savjetovanje u pomorstvu i brodogradnji, turistička agencija u stečaju, OIB 25665183089, Lupoglavska ulica 3, 10000 Zagreb</izvorni_sadrzaj>
    <derivirana_varijabla naziv="DomainObject.Predmet.ProtustrankaFormatedWithAdressOIB_1"> Stečajna masa iza APEX NAVIS d.o.o. savjetovanje u pomorstvu i brodogradnji, turistička agencija u stečaju, OIB 25665183089, Lupoglavska ulica 3, 10000 Zagreb</derivirana_varijabla>
  </DomainObject.Predmet.ProtustrankaFormatedWithAdressOIB>
  <DomainObject.Predmet.ProtustrankaWithAdress>
    <izvorni_sadrzaj>Stečajna masa iza APEX NAVIS d.o.o. savjetovanje u pomorstvu i brodogradnji, turistička agencija u stečaju Lupoglavska ulica 3, 10000 Zagreb</izvorni_sadrzaj>
    <derivirana_varijabla naziv="DomainObject.Predmet.ProtustrankaWithAdress_1">Stečajna masa iza APEX NAVIS d.o.o. savjetovanje u pomorstvu i brodogradnji, turistička agencija u stečaju Lupoglavska ulica 3, 10000 Zagreb</derivirana_varijabla>
  </DomainObject.Predmet.ProtustrankaWithAdress>
  <DomainObject.Predmet.ProtustrankaWithAdressOIB>
    <izvorni_sadrzaj>Stečajna masa iza APEX NAVIS d.o.o. savjetovanje u pomorstvu i brodogradnji, turistička agencija u stečaju, OIB 25665183089, Lupoglavska ulica 3, 10000 Zagreb</izvorni_sadrzaj>
    <derivirana_varijabla naziv="DomainObject.Predmet.ProtustrankaWithAdressOIB_1">Stečajna masa iza APEX NAVIS d.o.o. savjetovanje u pomorstvu i brodogradnji, turistička agencija u stečaju, OIB 25665183089, Lupoglavska ulica 3, 10000 Zagreb</derivirana_varijabla>
  </DomainObject.Predmet.ProtustrankaWithAdressOIB>
  <DomainObject.Predmet.ProtustrankaNazivFormated>
    <izvorni_sadrzaj>Stečajna masa iza APEX NAVIS d.o.o. savjetovanje u pomorstvu i brodogradnji, turistička agencija u stečaju</izvorni_sadrzaj>
    <derivirana_varijabla naziv="DomainObject.Predmet.ProtustrankaNazivFormated_1">Stečajna masa iza APEX NAVIS d.o.o. savjetovanje u pomorstvu i brodogradnji, turistička agencija u stečaju</derivirana_varijabla>
  </DomainObject.Predmet.ProtustrankaNazivFormated>
  <DomainObject.Predmet.ProtustrankaNazivFormatedOIB>
    <izvorni_sadrzaj>Stečajna masa iza APEX NAVIS d.o.o. savjetovanje u pomorstvu i brodogradnji, turistička agencija u stečaju, OIB 25665183089</izvorni_sadrzaj>
    <derivirana_varijabla naziv="DomainObject.Predmet.ProtustrankaNazivFormatedOIB_1">Stečajna masa iza APEX NAVIS d.o.o. savjetovanje u pomorstvu i brodogradnji, turistička agencija u stečaju, OIB 25665183089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Stečajna masa iza APEX NAVIS d.o.o. savjetovanje u pomorstvu i brodogradnji, turistička agencija u stečaju</item>
    </izvorni_sadrzaj>
    <derivirana_varijabla naziv="DomainObject.Predmet.ProtuStrankaListFormated_1">
      <item>Stečajna masa iza APEX NAVIS d.o.o. savjetovanje u pomorstvu i brodogradnji, turistička agencija u stečaju</item>
    </derivirana_varijabla>
  </DomainObject.Predmet.ProtuStrankaListFormated>
  <DomainObject.Predmet.ProtuStrankaListFormatedOIB>
    <izvorni_sadrzaj>
      <item>Stečajna masa iza APEX NAVIS d.o.o. savjetovanje u pomorstvu i brodogradnji, turistička agencija u stečaju, OIB 25665183089</item>
    </izvorni_sadrzaj>
    <derivirana_varijabla naziv="DomainObject.Predmet.ProtuStrankaListFormatedOIB_1">
      <item>Stečajna masa iza APEX NAVIS d.o.o. savjetovanje u pomorstvu i brodogradnji, turistička agencija u stečaju, OIB 25665183089</item>
    </derivirana_varijabla>
  </DomainObject.Predmet.ProtuStrankaListFormatedOIB>
  <DomainObject.Predmet.ProtuStrankaListFormatedWithAdress>
    <izvorni_sadrzaj>
      <item>Stečajna masa iza APEX NAVIS d.o.o. savjetovanje u pomorstvu i brodogradnji, turistička agencija u stečaju, Lupoglavska ulica 3, 10000 Zagreb</item>
    </izvorni_sadrzaj>
    <derivirana_varijabla naziv="DomainObject.Predmet.ProtuStrankaListFormatedWithAdress_1">
      <item>Stečajna masa iza APEX NAVIS d.o.o. savjetovanje u pomorstvu i brodogradnji, turistička agencija u stečaju, Lupoglavska ulica 3, 10000 Zagreb</item>
    </derivirana_varijabla>
  </DomainObject.Predmet.ProtuStrankaListFormatedWithAdress>
  <DomainObject.Predmet.ProtuStrankaListFormatedWithAdressOIB>
    <izvorni_sadrzaj>
      <item>Stečajna masa iza APEX NAVIS d.o.o. savjetovanje u pomorstvu i brodogradnji, turistička agencija u stečaju, OIB 25665183089, Lupoglavska ulica 3, 10000 Zagreb</item>
    </izvorni_sadrzaj>
    <derivirana_varijabla naziv="DomainObject.Predmet.ProtuStrankaListFormatedWithAdressOIB_1">
      <item>Stečajna masa iza APEX NAVIS d.o.o. savjetovanje u pomorstvu i brodogradnji, turistička agencija u stečaju, OIB 25665183089, Lupoglavska ulica 3, 10000 Zagreb</item>
    </derivirana_varijabla>
  </DomainObject.Predmet.ProtuStrankaListFormatedWithAdressOIB>
  <DomainObject.Predmet.ProtuStrankaListNazivFormated>
    <izvorni_sadrzaj>
      <item>Stečajna masa iza APEX NAVIS d.o.o. savjetovanje u pomorstvu i brodogradnji, turistička agencija u stečaju</item>
    </izvorni_sadrzaj>
    <derivirana_varijabla naziv="DomainObject.Predmet.ProtuStrankaListNazivFormated_1">
      <item>Stečajna masa iza APEX NAVIS d.o.o. savjetovanje u pomorstvu i brodogradnji, turistička agencija u stečaju</item>
    </derivirana_varijabla>
  </DomainObject.Predmet.ProtuStrankaListNazivFormated>
  <DomainObject.Predmet.ProtuStrankaListNazivFormatedOIB>
    <izvorni_sadrzaj>
      <item>Stečajna masa iza APEX NAVIS d.o.o. savjetovanje u pomorstvu i brodogradnji, turistička agencija u stečaju, OIB 25665183089</item>
    </izvorni_sadrzaj>
    <derivirana_varijabla naziv="DomainObject.Predmet.ProtuStrankaListNazivFormatedOIB_1">
      <item>Stečajna masa iza APEX NAVIS d.o.o. savjetovanje u pomorstvu i brodogradnji, turistička agencija u stečaju, OIB 25665183089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svibnja 2024.</izvorni_sadrzaj>
    <derivirana_varijabla naziv="DomainObject.Datum_1">21. svibnja 2024.</derivirana_varijabla>
  </DomainObject.Datum>
  <DomainObject.PoslovniBrojDokumenta>
    <izvorni_sadrzaj>St-29/2024-34</izvorni_sadrzaj>
    <derivirana_varijabla naziv="DomainObject.PoslovniBrojDokumenta_1">St-29/2024-34</derivirana_varijabla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Stečajna masa iza APEX NAVIS d.o.o. savjetovanje u pomorstvu i brodogradnji, turistička agencija u stečaju</izvorni_sadrzaj>
    <derivirana_varijabla naziv="DomainObject.Predmet.ProtustrankaIDrugi_1">Stečajna masa iza APEX NAVIS d.o.o. savjetovanje u pomorstvu i brodogradnji, turistička agencija u stečaju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Stečajna masa iza APEX NAVIS d.o.o. savjetovanje u pomorstvu i brodogradnji, turistička agencija u stečaju, OIB 25665183089, Lupoglavska ulica 3, 10000 Zagreb</izvorni_sadrzaj>
    <derivirana_varijabla naziv="DomainObject.Predmet.ProtustrankaIDrugiAdressOIB_1">Stečajna masa iza APEX NAVIS d.o.o. savjetovanje u pomorstvu i brodogradnji, turistička agencija u stečaju, OIB 25665183089, Lupoglavska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APEX NAVIS d.o.o. savjetovanje u pomorstvu i brodogradnji, turistička agencija u stečaju</item>
      <item>Financijska agencija, Podružnica Pula, PULA</item>
    </izvorni_sadrzaj>
    <derivirana_varijabla naziv="DomainObject.Predmet.SudioniciListNaziv_1">
      <item>Stečajna masa iza APEX NAVIS d.o.o. savjetovanje u pomorstvu i brodogradnji, turistička agencija u stečaju</item>
      <item>Financijska agencija, Podružnica Pula, PULA</item>
    </derivirana_varijabla>
  </DomainObject.Predmet.SudioniciListNaziv>
  <DomainObject.Predmet.SudioniciListAdressOIB>
    <izvorni_sadrzaj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</izvorni_sadrzaj>
    <derivirana_varijabla naziv="DomainObject.Predmet.SudioniciListAdressOIB_1"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25665183089</item>
      <item>, OIB 85821130368</item>
    </izvorni_sadrzaj>
    <derivirana_varijabla naziv="DomainObject.Predmet.SudioniciListNazivOIB_1">
      <item>, OIB 25665183089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2023.</izvorni_sadrzaj>
    <derivirana_varijabla naziv="DomainObject.Predmet.DatumPocetkaProcesa_1">30.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256</properties:Words>
  <properties:Characters>1402</properties:Characters>
  <properties:Lines>50</properties:Lines>
  <properties:Paragraphs>23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2024-03-14T13:35:00Z</dcterms:created>
  <dc:creator>Jasmina Matika</dc:creator>
  <dc:description/>
  <cp:keywords/>
  <cp:lastModifiedBy>Jasmina Matika</cp:lastModifiedBy>
  <dcterms:modified xmlns:xsi="http://www.w3.org/2001/XMLSchema-instance" xsi:type="dcterms:W3CDTF">2024-05-21T11:10:00Z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St-29/2024-34 / Zapisnik - Ročište (St-29-24 - ZAPISNIK - UTVRĐENJE VRIJEDNOSTI JAHTE.docx)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